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83A" w:rsidRPr="009375B2" w:rsidRDefault="003D3325">
      <w:pPr>
        <w:jc w:val="center"/>
        <w:rPr>
          <w:b/>
          <w:sz w:val="28"/>
          <w:szCs w:val="28"/>
        </w:rPr>
      </w:pPr>
      <w:r w:rsidRPr="009375B2">
        <w:rPr>
          <w:b/>
          <w:sz w:val="28"/>
          <w:szCs w:val="28"/>
        </w:rPr>
        <w:t>Стратегия развития строительной отрасли – последний вагон для СРО?</w:t>
      </w:r>
    </w:p>
    <w:p w:rsidR="00AF583A" w:rsidRPr="009375B2" w:rsidRDefault="00AF583A">
      <w:pPr>
        <w:rPr>
          <w:b/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Аркадий </w:t>
      </w:r>
      <w:proofErr w:type="spellStart"/>
      <w:r w:rsidRPr="009375B2">
        <w:rPr>
          <w:sz w:val="28"/>
          <w:szCs w:val="28"/>
        </w:rPr>
        <w:t>Апумчик</w:t>
      </w:r>
      <w:proofErr w:type="spellEnd"/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Так уж сложилось исторически, что строительная отрасль оказалась в России одной из самых </w:t>
      </w:r>
      <w:r w:rsidRPr="009375B2">
        <w:rPr>
          <w:sz w:val="28"/>
          <w:szCs w:val="28"/>
        </w:rPr>
        <w:t xml:space="preserve">зарегулированных. Причём, помимо постоянного и многочисленного контроля в настоящем времени, чиновники не перестают думать о том, как бы </w:t>
      </w:r>
      <w:proofErr w:type="gramStart"/>
      <w:r w:rsidRPr="009375B2">
        <w:rPr>
          <w:sz w:val="28"/>
          <w:szCs w:val="28"/>
        </w:rPr>
        <w:t>получш</w:t>
      </w:r>
      <w:bookmarkStart w:id="0" w:name="_GoBack"/>
      <w:bookmarkEnd w:id="0"/>
      <w:r w:rsidRPr="009375B2">
        <w:rPr>
          <w:sz w:val="28"/>
          <w:szCs w:val="28"/>
        </w:rPr>
        <w:t>е</w:t>
      </w:r>
      <w:proofErr w:type="gramEnd"/>
      <w:r w:rsidRPr="009375B2">
        <w:rPr>
          <w:sz w:val="28"/>
          <w:szCs w:val="28"/>
        </w:rPr>
        <w:t xml:space="preserve"> организовать для наших строителей и конечных потребителей светлое будущее. Растут и множатся планы, стратегии, </w:t>
      </w:r>
      <w:r w:rsidRPr="009375B2">
        <w:rPr>
          <w:sz w:val="28"/>
          <w:szCs w:val="28"/>
        </w:rPr>
        <w:t>программы, дорожные карты, в которых расписано, что и как нужно в очередной раз перестроить, как начать и куда углубить, чтобы уже к 20хх году достичь невиданных темпов и выйти на фантастические показатели.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Серьёзные документы с далеко идущими планами мел</w:t>
      </w:r>
      <w:r w:rsidRPr="009375B2">
        <w:rPr>
          <w:sz w:val="28"/>
          <w:szCs w:val="28"/>
        </w:rPr>
        <w:t>ькают, как спицы в колесе: «Программа 2020», «Стратегия инновационного развития строительной отрасли», «План развития конкуренции в строительной отрасли». И – вот радость-то какая! – снова государевы люди готовят для нас Стратегию развития строительной отр</w:t>
      </w:r>
      <w:r w:rsidRPr="009375B2">
        <w:rPr>
          <w:sz w:val="28"/>
          <w:szCs w:val="28"/>
        </w:rPr>
        <w:t xml:space="preserve">асли, на сей раз </w:t>
      </w:r>
      <w:proofErr w:type="gramStart"/>
      <w:r w:rsidRPr="009375B2">
        <w:rPr>
          <w:sz w:val="28"/>
          <w:szCs w:val="28"/>
        </w:rPr>
        <w:t>аж</w:t>
      </w:r>
      <w:proofErr w:type="gramEnd"/>
      <w:r w:rsidRPr="009375B2">
        <w:rPr>
          <w:sz w:val="28"/>
          <w:szCs w:val="28"/>
        </w:rPr>
        <w:t xml:space="preserve"> до 2030 года, причём не абы какую, а имеющую прорывной характер.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Разработка и утверждение Стратегии, согласно распоряжению Правительства Российской Федерации от 16 августа 2018 года № 1697-р, входит в план мероприятий («дорожную карту»</w:t>
      </w:r>
      <w:r w:rsidRPr="009375B2">
        <w:rPr>
          <w:sz w:val="28"/>
          <w:szCs w:val="28"/>
        </w:rPr>
        <w:t>) по развитию конкуренции в отраслях экономики страны.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Приказы </w:t>
      </w:r>
      <w:proofErr w:type="gramStart"/>
      <w:r w:rsidRPr="009375B2">
        <w:rPr>
          <w:sz w:val="28"/>
          <w:szCs w:val="28"/>
        </w:rPr>
        <w:t>в</w:t>
      </w:r>
      <w:proofErr w:type="gramEnd"/>
      <w:r w:rsidRPr="009375B2">
        <w:rPr>
          <w:sz w:val="28"/>
          <w:szCs w:val="28"/>
        </w:rPr>
        <w:t xml:space="preserve"> никуда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В чём разница со всеми предыдущими попытками? А разница, объясняют авторы этой инициативы, в самом подходе. Раньше все подобные документы разрабатывались по одному и тому же плану – </w:t>
      </w:r>
      <w:r w:rsidRPr="009375B2">
        <w:rPr>
          <w:sz w:val="28"/>
          <w:szCs w:val="28"/>
        </w:rPr>
        <w:t>профильное министерство собирало статистику, устанавливало взятые с потолка показатели, добавляло план мероприятий и для приличия проводило несколько круглых столов для обратной связи с сообществом. Потом отраслевые СМИ успешно освещали напряжённый ход раб</w:t>
      </w:r>
      <w:r w:rsidRPr="009375B2">
        <w:rPr>
          <w:sz w:val="28"/>
          <w:szCs w:val="28"/>
        </w:rPr>
        <w:t xml:space="preserve">оты над новой программой, </w:t>
      </w:r>
      <w:proofErr w:type="spellStart"/>
      <w:r w:rsidRPr="009375B2">
        <w:rPr>
          <w:sz w:val="28"/>
          <w:szCs w:val="28"/>
        </w:rPr>
        <w:t>имиджевые</w:t>
      </w:r>
      <w:proofErr w:type="spellEnd"/>
      <w:r w:rsidRPr="009375B2">
        <w:rPr>
          <w:sz w:val="28"/>
          <w:szCs w:val="28"/>
        </w:rPr>
        <w:t xml:space="preserve"> фигуры морщили лбы и изрекали экспертные оценки, реальные предложения и замечания выкидывались в мусорную корзину, а проект, рождённый в муках административного творчества, спускался в массы. Для исполнения.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Самое забав</w:t>
      </w:r>
      <w:r w:rsidRPr="009375B2">
        <w:rPr>
          <w:sz w:val="28"/>
          <w:szCs w:val="28"/>
        </w:rPr>
        <w:t xml:space="preserve">ное в этом то, что отрасль-то уже давно стала сплошь рыночной и на чиновничьи целевые показатели особого внимания не обращает. Там свой господин – его величество Рынок, со своим платёжеспособным </w:t>
      </w:r>
      <w:r w:rsidRPr="009375B2">
        <w:rPr>
          <w:sz w:val="28"/>
          <w:szCs w:val="28"/>
        </w:rPr>
        <w:lastRenderedPageBreak/>
        <w:t>спросом, колебаниями закупочных цен, стоимостью кредитов и пр</w:t>
      </w:r>
      <w:r w:rsidRPr="009375B2">
        <w:rPr>
          <w:sz w:val="28"/>
          <w:szCs w:val="28"/>
        </w:rPr>
        <w:t>очими капиталистическими таинствами.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Цифры говорят сами за себя. Если до 1990 года в гражданском строительстве порядка 75% жилья строилось за счёт бюджетных средств, то сейчас эта доля сократилась до 5,5%. Остальное вводится за счёт частных инвестиций. Ли</w:t>
      </w:r>
      <w:r w:rsidRPr="009375B2">
        <w:rPr>
          <w:sz w:val="28"/>
          <w:szCs w:val="28"/>
        </w:rPr>
        <w:t>шь 2% от всех строительных работ в стране осуществляются государственными организациями, остальное делают предприятия с иными формами собственности. Соответствующим образом изменилась и распределение по форме собственности и самого жилого фонда. В государс</w:t>
      </w:r>
      <w:r w:rsidRPr="009375B2">
        <w:rPr>
          <w:sz w:val="28"/>
          <w:szCs w:val="28"/>
        </w:rPr>
        <w:t>твенной и муниципальной собственности осталось порядка 8% от всех обитаемых квадратных метров страны. Остальное принадлежит частникам, юридическим и физическим лицам.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Вот и получается, что строительная отрасль и управление жилым фондом у нас практически п</w:t>
      </w:r>
      <w:r w:rsidRPr="009375B2">
        <w:rPr>
          <w:sz w:val="28"/>
          <w:szCs w:val="28"/>
        </w:rPr>
        <w:t xml:space="preserve">олностью перешли на рыночные рельсы, научились в условиях рынка работать и выживать. В то время как система контроля, планирования и целеполагания целиком унаследована от советской экономики. </w:t>
      </w:r>
      <w:proofErr w:type="gramStart"/>
      <w:r w:rsidRPr="009375B2">
        <w:rPr>
          <w:sz w:val="28"/>
          <w:szCs w:val="28"/>
        </w:rPr>
        <w:t>Работавшей</w:t>
      </w:r>
      <w:proofErr w:type="gramEnd"/>
      <w:r w:rsidRPr="009375B2">
        <w:rPr>
          <w:sz w:val="28"/>
          <w:szCs w:val="28"/>
        </w:rPr>
        <w:t xml:space="preserve"> на совершенно иных принципах и использовавшая иные ме</w:t>
      </w:r>
      <w:r w:rsidRPr="009375B2">
        <w:rPr>
          <w:sz w:val="28"/>
          <w:szCs w:val="28"/>
        </w:rPr>
        <w:t>ханизмы.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Кому тут будешь спускать разнарядки, и кто их будет выполнять? Директора </w:t>
      </w:r>
      <w:proofErr w:type="spellStart"/>
      <w:r w:rsidRPr="009375B2">
        <w:rPr>
          <w:sz w:val="28"/>
          <w:szCs w:val="28"/>
        </w:rPr>
        <w:t>девелопинговых</w:t>
      </w:r>
      <w:proofErr w:type="spellEnd"/>
      <w:r w:rsidRPr="009375B2">
        <w:rPr>
          <w:sz w:val="28"/>
          <w:szCs w:val="28"/>
        </w:rPr>
        <w:t xml:space="preserve"> компаний? Владельцы этих компаний? Сидящие на подряде строители? Покупатели – дольщики-</w:t>
      </w:r>
      <w:proofErr w:type="spellStart"/>
      <w:r w:rsidRPr="009375B2">
        <w:rPr>
          <w:sz w:val="28"/>
          <w:szCs w:val="28"/>
        </w:rPr>
        <w:t>ипотечники</w:t>
      </w:r>
      <w:proofErr w:type="spellEnd"/>
      <w:r w:rsidRPr="009375B2">
        <w:rPr>
          <w:sz w:val="28"/>
          <w:szCs w:val="28"/>
        </w:rPr>
        <w:t xml:space="preserve">? Или, быть может, банкиры, которые решают, кому и какие </w:t>
      </w:r>
      <w:r w:rsidRPr="009375B2">
        <w:rPr>
          <w:sz w:val="28"/>
          <w:szCs w:val="28"/>
        </w:rPr>
        <w:t xml:space="preserve">кредитные линии начертать на нелёгком жизненном пути? Можно было бы показывать заказчикам, но там свои законодательные лабиринты, включая </w:t>
      </w:r>
      <w:proofErr w:type="gramStart"/>
      <w:r w:rsidRPr="009375B2">
        <w:rPr>
          <w:sz w:val="28"/>
          <w:szCs w:val="28"/>
        </w:rPr>
        <w:t>пресловутую</w:t>
      </w:r>
      <w:proofErr w:type="gramEnd"/>
      <w:r w:rsidRPr="009375B2">
        <w:rPr>
          <w:sz w:val="28"/>
          <w:szCs w:val="28"/>
        </w:rPr>
        <w:t xml:space="preserve"> </w:t>
      </w:r>
      <w:proofErr w:type="spellStart"/>
      <w:r w:rsidRPr="009375B2">
        <w:rPr>
          <w:sz w:val="28"/>
          <w:szCs w:val="28"/>
        </w:rPr>
        <w:t>цифровизацию</w:t>
      </w:r>
      <w:proofErr w:type="spellEnd"/>
      <w:r w:rsidRPr="009375B2">
        <w:rPr>
          <w:sz w:val="28"/>
          <w:szCs w:val="28"/>
        </w:rPr>
        <w:t>. Да и не те деньги инвестирует государство, чтобы диктовать условия на рынке – всего лишь око</w:t>
      </w:r>
      <w:r w:rsidRPr="009375B2">
        <w:rPr>
          <w:sz w:val="28"/>
          <w:szCs w:val="28"/>
        </w:rPr>
        <w:t>ло 15% от общего объёма инвестиций.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Поэтому программы, стратегии и дорожные карты оседают на том уровне, до которого их власть только и доходит – в региональных </w:t>
      </w:r>
      <w:proofErr w:type="spellStart"/>
      <w:r w:rsidRPr="009375B2">
        <w:rPr>
          <w:sz w:val="28"/>
          <w:szCs w:val="28"/>
        </w:rPr>
        <w:t>минстроях</w:t>
      </w:r>
      <w:proofErr w:type="spellEnd"/>
      <w:r w:rsidRPr="009375B2">
        <w:rPr>
          <w:sz w:val="28"/>
          <w:szCs w:val="28"/>
        </w:rPr>
        <w:t xml:space="preserve"> и комитетах по строительству при местных администрациях. Там они, как всякая серьёзн</w:t>
      </w:r>
      <w:r w:rsidRPr="009375B2">
        <w:rPr>
          <w:sz w:val="28"/>
          <w:szCs w:val="28"/>
        </w:rPr>
        <w:t>ая бумага, отлёживаются, обрастают отчётами и диаграммами, циркулируют между отделами и комиссиями, после чего благополучно находят место последнего успокоения в архивных хранилищах.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Между тем, федеральный центр на этот раз хочет не симуляции, а подлинной</w:t>
      </w:r>
      <w:r w:rsidRPr="009375B2">
        <w:rPr>
          <w:sz w:val="28"/>
          <w:szCs w:val="28"/>
        </w:rPr>
        <w:t xml:space="preserve"> любви. То есть – реализации Национальной программы «Жильё», выхода на поставленную Президентом планку в 120 тысяч «квадратов» ежегодно и улучшения жилищных условий для 5-ти миллионов семей ежегодно. С 2014 года превысили рекорды РСФСР, а в 2018-ом ввели 7</w:t>
      </w:r>
      <w:r w:rsidRPr="009375B2">
        <w:rPr>
          <w:sz w:val="28"/>
          <w:szCs w:val="28"/>
        </w:rPr>
        <w:t xml:space="preserve">5,3 </w:t>
      </w:r>
      <w:r w:rsidRPr="009375B2">
        <w:rPr>
          <w:sz w:val="28"/>
          <w:szCs w:val="28"/>
        </w:rPr>
        <w:lastRenderedPageBreak/>
        <w:t>миллиона квадратных метров. Это хорошо, но нужно больше. Гораздо больше.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Поэтому, как нас уверяют в Минстрое России, на сей раз всё будет по-иному.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А что хотите Вы?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А именно, новую Стратегию развития строительной отрасли Российской Федерации до 2030</w:t>
      </w:r>
      <w:r w:rsidRPr="009375B2">
        <w:rPr>
          <w:sz w:val="28"/>
          <w:szCs w:val="28"/>
        </w:rPr>
        <w:t xml:space="preserve"> года предлагается разработать всем миром. Документ должны сформировать совместными усилиями представители </w:t>
      </w:r>
      <w:proofErr w:type="spellStart"/>
      <w:r w:rsidRPr="009375B2">
        <w:rPr>
          <w:sz w:val="28"/>
          <w:szCs w:val="28"/>
        </w:rPr>
        <w:t>девелопингового</w:t>
      </w:r>
      <w:proofErr w:type="spellEnd"/>
      <w:r w:rsidRPr="009375B2">
        <w:rPr>
          <w:sz w:val="28"/>
          <w:szCs w:val="28"/>
        </w:rPr>
        <w:t>, строительного, саморегулируемого, научного сообщества, институтов развития, экспертных организаций, государственных структур и банко</w:t>
      </w:r>
      <w:r w:rsidRPr="009375B2">
        <w:rPr>
          <w:sz w:val="28"/>
          <w:szCs w:val="28"/>
        </w:rPr>
        <w:t>вских структур. Работу будут вести несколько команд.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Функцию по координации, а также экспертному сопровождению разработки всех разделов Стратегии и формирования сводного документа возьмёт на себя Аналитический центр при Правительстве РФ. В качестве </w:t>
      </w:r>
      <w:proofErr w:type="spellStart"/>
      <w:r w:rsidRPr="009375B2">
        <w:rPr>
          <w:sz w:val="28"/>
          <w:szCs w:val="28"/>
        </w:rPr>
        <w:t>соорга</w:t>
      </w:r>
      <w:r w:rsidRPr="009375B2">
        <w:rPr>
          <w:sz w:val="28"/>
          <w:szCs w:val="28"/>
        </w:rPr>
        <w:t>низаторов</w:t>
      </w:r>
      <w:proofErr w:type="spellEnd"/>
      <w:r w:rsidRPr="009375B2">
        <w:rPr>
          <w:sz w:val="28"/>
          <w:szCs w:val="28"/>
        </w:rPr>
        <w:t xml:space="preserve"> приглашены Национальные объединения строителей, изыскателей и проектировщиков.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Стратегия, по замыслу организаторов, должна охватить сферы жилищного, промышленного и инфраструктурного строительства, рынок строительных материалов и строительной те</w:t>
      </w:r>
      <w:r w:rsidRPr="009375B2">
        <w:rPr>
          <w:sz w:val="28"/>
          <w:szCs w:val="28"/>
        </w:rPr>
        <w:t>хники, предусмотреть внедрение инноваций. В ходе работы над проектом Стратегии на первом этапе предстоит описать текущее состояние строительной отрасли, проанализировать проблемы и болевые точки. А на втором этапе уже определить приоритеты и целевые показа</w:t>
      </w:r>
      <w:r w:rsidRPr="009375B2">
        <w:rPr>
          <w:sz w:val="28"/>
          <w:szCs w:val="28"/>
        </w:rPr>
        <w:t>тели, результатом чего должен стать план мероприятий, со строгим определением сроков, инструментов и круга ответственных лиц.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При разработке документа должны быть учтены долгосрочные макроэкономические прогнозы развития страны, а также стратегические доку</w:t>
      </w:r>
      <w:r w:rsidRPr="009375B2">
        <w:rPr>
          <w:sz w:val="28"/>
          <w:szCs w:val="28"/>
        </w:rPr>
        <w:t xml:space="preserve">менты по развитию других отраслей, взаимосвязанных </w:t>
      </w:r>
      <w:proofErr w:type="gramStart"/>
      <w:r w:rsidRPr="009375B2">
        <w:rPr>
          <w:sz w:val="28"/>
          <w:szCs w:val="28"/>
        </w:rPr>
        <w:t>со</w:t>
      </w:r>
      <w:proofErr w:type="gramEnd"/>
      <w:r w:rsidRPr="009375B2">
        <w:rPr>
          <w:sz w:val="28"/>
          <w:szCs w:val="28"/>
        </w:rPr>
        <w:t xml:space="preserve"> строительной.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Всего собрано 11 проектных команд, куда вошли АО «ДОМ</w:t>
      </w:r>
      <w:proofErr w:type="gramStart"/>
      <w:r w:rsidRPr="009375B2">
        <w:rPr>
          <w:sz w:val="28"/>
          <w:szCs w:val="28"/>
        </w:rPr>
        <w:t>.Р</w:t>
      </w:r>
      <w:proofErr w:type="gramEnd"/>
      <w:r w:rsidRPr="009375B2">
        <w:rPr>
          <w:sz w:val="28"/>
          <w:szCs w:val="28"/>
        </w:rPr>
        <w:t xml:space="preserve">Ф», Федеральное автономное учреждение «Главное управление государственной экспертизы», Государственная корпорация – Фонд содействия </w:t>
      </w:r>
      <w:r w:rsidRPr="009375B2">
        <w:rPr>
          <w:sz w:val="28"/>
          <w:szCs w:val="28"/>
        </w:rPr>
        <w:t>реформированию жилищно-коммунального хозяйства, Федеральное автономное учреждение «Федеральный центр нормирования, стандартизации и технической оценки соответствия в строительстве», Федеральное государственное бюджетное образовательное учреждение высшего о</w:t>
      </w:r>
      <w:r w:rsidRPr="009375B2">
        <w:rPr>
          <w:sz w:val="28"/>
          <w:szCs w:val="28"/>
        </w:rPr>
        <w:t>бразования «Национальный исследовательский Московский государственный строительный университет», АО «Научно-</w:t>
      </w:r>
      <w:r w:rsidRPr="009375B2">
        <w:rPr>
          <w:sz w:val="28"/>
          <w:szCs w:val="28"/>
        </w:rPr>
        <w:lastRenderedPageBreak/>
        <w:t>исследовательский центр «Строительство», НОПРИЗ, НОСТРОЙ. Результаты работы проектных команд и созданные ими разделы Стратегии будут переданы в Анал</w:t>
      </w:r>
      <w:r w:rsidRPr="009375B2">
        <w:rPr>
          <w:sz w:val="28"/>
          <w:szCs w:val="28"/>
        </w:rPr>
        <w:t>итический центр при Правительстве РФ для формирования единого документа.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Более того, Минстрой приглашает всех заинтересованных лиц к обсуждению приоритетов и целей, стоящих перед строительной отраслью России. Всё что нужно – воспользоваться </w:t>
      </w:r>
      <w:proofErr w:type="gramStart"/>
      <w:r w:rsidRPr="009375B2">
        <w:rPr>
          <w:sz w:val="28"/>
          <w:szCs w:val="28"/>
        </w:rPr>
        <w:t>современными</w:t>
      </w:r>
      <w:proofErr w:type="gramEnd"/>
      <w:r w:rsidRPr="009375B2">
        <w:rPr>
          <w:sz w:val="28"/>
          <w:szCs w:val="28"/>
        </w:rPr>
        <w:t xml:space="preserve"> I</w:t>
      </w:r>
      <w:r w:rsidRPr="009375B2">
        <w:rPr>
          <w:sz w:val="28"/>
          <w:szCs w:val="28"/>
        </w:rPr>
        <w:t>T-технологиями, зайти на сайт Стратегии, выбрать свою команду и отправить собственные предложения. Как говорят в таких случаях господа маркетологи – не вешайте трубку, Ваше мнение очень важно для нас. Помимо того, что к мнению будут прислушиваться, так ещё</w:t>
      </w:r>
      <w:r w:rsidRPr="009375B2">
        <w:rPr>
          <w:sz w:val="28"/>
          <w:szCs w:val="28"/>
        </w:rPr>
        <w:t xml:space="preserve"> и обещают, что все разработчики Стратегии будут указаны в составе авторских коллективов соответствующих разделов документа. Словом, если есть мысли, как поднять российскую отрасль и вписать своё имя в историю, то таким шансом грех не воспользоваться.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Отр</w:t>
      </w:r>
      <w:r w:rsidRPr="009375B2">
        <w:rPr>
          <w:sz w:val="28"/>
          <w:szCs w:val="28"/>
        </w:rPr>
        <w:t>аслевой дисбаланс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Однако главный вопрос </w:t>
      </w:r>
      <w:proofErr w:type="gramStart"/>
      <w:r w:rsidRPr="009375B2">
        <w:rPr>
          <w:sz w:val="28"/>
          <w:szCs w:val="28"/>
        </w:rPr>
        <w:t>всё</w:t>
      </w:r>
      <w:proofErr w:type="gramEnd"/>
      <w:r w:rsidRPr="009375B2">
        <w:rPr>
          <w:sz w:val="28"/>
          <w:szCs w:val="28"/>
        </w:rPr>
        <w:t xml:space="preserve"> ещё остаётся открытым – </w:t>
      </w:r>
      <w:proofErr w:type="gramStart"/>
      <w:r w:rsidRPr="009375B2">
        <w:rPr>
          <w:sz w:val="28"/>
          <w:szCs w:val="28"/>
        </w:rPr>
        <w:t>каким</w:t>
      </w:r>
      <w:proofErr w:type="gramEnd"/>
      <w:r w:rsidRPr="009375B2">
        <w:rPr>
          <w:sz w:val="28"/>
          <w:szCs w:val="28"/>
        </w:rPr>
        <w:t xml:space="preserve"> образом можно управлять там, где у управляющего практически ничего своего нет? И вот здесь, как считают отдельные весьма уважаемые представители экспертного сообщества, на сцену и д</w:t>
      </w:r>
      <w:r w:rsidRPr="009375B2">
        <w:rPr>
          <w:sz w:val="28"/>
          <w:szCs w:val="28"/>
        </w:rPr>
        <w:t>олжно выйти строительное саморегулирование.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Накануне XVII Съезда Всероссийского съезда саморегулируемых организаций, основанных на членстве лиц, осуществляющих строительство, реконструкцию, капитальный ремонт, снос объектов капитального строительства, про</w:t>
      </w:r>
      <w:r w:rsidRPr="009375B2">
        <w:rPr>
          <w:sz w:val="28"/>
          <w:szCs w:val="28"/>
        </w:rPr>
        <w:t>шли несколько круглых столов, по проблемам важнейшей отрасли страны. На одном из них, посвящённом разработке Стратегии – 2030, неизменно здравые мысли высказал член Совета НОПРИЗ, бывший министр строительства, Почётный архитектор и Залуженный строитель Рос</w:t>
      </w:r>
      <w:r w:rsidRPr="009375B2">
        <w:rPr>
          <w:sz w:val="28"/>
          <w:szCs w:val="28"/>
        </w:rPr>
        <w:t xml:space="preserve">сии, гуру саморегулирования Анвар </w:t>
      </w:r>
      <w:proofErr w:type="spellStart"/>
      <w:r w:rsidRPr="009375B2">
        <w:rPr>
          <w:sz w:val="28"/>
          <w:szCs w:val="28"/>
        </w:rPr>
        <w:t>Шамузафаров</w:t>
      </w:r>
      <w:proofErr w:type="spellEnd"/>
      <w:r w:rsidRPr="009375B2">
        <w:rPr>
          <w:sz w:val="28"/>
          <w:szCs w:val="28"/>
        </w:rPr>
        <w:t>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Он обратил внимание участников на всем известные обстоятельства. В последние 25 лет произошло сильное изменение структуры собственности и инвестиций. Существующая система регулирования отрасли унаследована с </w:t>
      </w:r>
      <w:r w:rsidRPr="009375B2">
        <w:rPr>
          <w:sz w:val="28"/>
          <w:szCs w:val="28"/>
        </w:rPr>
        <w:t xml:space="preserve">советских времён. И </w:t>
      </w:r>
      <w:proofErr w:type="spellStart"/>
      <w:r w:rsidRPr="009375B2">
        <w:rPr>
          <w:sz w:val="28"/>
          <w:szCs w:val="28"/>
        </w:rPr>
        <w:t>техрегулированием</w:t>
      </w:r>
      <w:proofErr w:type="spellEnd"/>
      <w:r w:rsidRPr="009375B2">
        <w:rPr>
          <w:sz w:val="28"/>
          <w:szCs w:val="28"/>
        </w:rPr>
        <w:t xml:space="preserve">, и экспертизой, и ценообразованием, и </w:t>
      </w:r>
      <w:proofErr w:type="spellStart"/>
      <w:r w:rsidRPr="009375B2">
        <w:rPr>
          <w:sz w:val="28"/>
          <w:szCs w:val="28"/>
        </w:rPr>
        <w:t>стройнадзором</w:t>
      </w:r>
      <w:proofErr w:type="spellEnd"/>
      <w:r w:rsidRPr="009375B2">
        <w:rPr>
          <w:sz w:val="28"/>
          <w:szCs w:val="28"/>
        </w:rPr>
        <w:t xml:space="preserve"> занимались исключительно государственные структуры. И такому порядку работы соответствовала структура инвестиций.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Поэтому сегодня существует явный дисбаланс между </w:t>
      </w:r>
      <w:r w:rsidRPr="009375B2">
        <w:rPr>
          <w:sz w:val="28"/>
          <w:szCs w:val="28"/>
        </w:rPr>
        <w:t xml:space="preserve">рыночной, по своей сути, отраслью и полностью государственными механизмами, призванными </w:t>
      </w:r>
      <w:r w:rsidRPr="009375B2">
        <w:rPr>
          <w:sz w:val="28"/>
          <w:szCs w:val="28"/>
        </w:rPr>
        <w:lastRenderedPageBreak/>
        <w:t>этой отраслью управлять и её координировать. Отсюда и бесконечно повисающие в воздухе планы, отсюда и удалённость чиновников от реального положения дел на стройплощадка</w:t>
      </w:r>
      <w:r w:rsidRPr="009375B2">
        <w:rPr>
          <w:sz w:val="28"/>
          <w:szCs w:val="28"/>
        </w:rPr>
        <w:t>х.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Очевидно, что провести огосударствление строительного комплекса уже не удастся, разве что будут иметь место какие-то единичные мероприятия, вроде выкупа на баланс государственных банков, оказавшихся в трудной ситуации компаний, либо, по японской модели</w:t>
      </w:r>
      <w:r w:rsidRPr="009375B2">
        <w:rPr>
          <w:sz w:val="28"/>
          <w:szCs w:val="28"/>
        </w:rPr>
        <w:t>, прямого введения чиновников в Советы директоров. Существенно это ситуацию не изменит. А вот сократить государственное регулирование за счёт расширения сферы отраслевого саморегулирования – можно и нужно. И Стратегия – 2030 как раз даёт такой шанс.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Изнач</w:t>
      </w:r>
      <w:r w:rsidRPr="009375B2">
        <w:rPr>
          <w:sz w:val="28"/>
          <w:szCs w:val="28"/>
        </w:rPr>
        <w:t xml:space="preserve">ально система строительного саморегулирования была, мягко говоря, не слишком востребованным институтом, просто-напросто, заменив </w:t>
      </w:r>
      <w:proofErr w:type="spellStart"/>
      <w:r w:rsidRPr="009375B2">
        <w:rPr>
          <w:sz w:val="28"/>
          <w:szCs w:val="28"/>
        </w:rPr>
        <w:t>гослицензирование</w:t>
      </w:r>
      <w:proofErr w:type="spellEnd"/>
      <w:r w:rsidRPr="009375B2">
        <w:rPr>
          <w:sz w:val="28"/>
          <w:szCs w:val="28"/>
        </w:rPr>
        <w:t xml:space="preserve"> на выдачу допусков. Однако уже реформа в рамках 372-ФЗ существенно расширила полномочия СРО, вменив им в обяз</w:t>
      </w:r>
      <w:r w:rsidRPr="009375B2">
        <w:rPr>
          <w:sz w:val="28"/>
          <w:szCs w:val="28"/>
        </w:rPr>
        <w:t>анности контрольные функции и заставив отвечать средствами компенсационных фондов за обязательства членов. Не всем это понравилось, и не все смогли найти себя в новой модели. Но это именно тот путь, по которому придётся идти.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И вместо того, чтобы вздыхать</w:t>
      </w:r>
      <w:r w:rsidRPr="009375B2">
        <w:rPr>
          <w:sz w:val="28"/>
          <w:szCs w:val="28"/>
        </w:rPr>
        <w:t xml:space="preserve"> о прежних беззаботных временах, когда у государства не доходили руки, чтобы взяться за торговлю допусками, </w:t>
      </w:r>
      <w:proofErr w:type="spellStart"/>
      <w:r w:rsidRPr="009375B2">
        <w:rPr>
          <w:sz w:val="28"/>
          <w:szCs w:val="28"/>
        </w:rPr>
        <w:t>саморегуляторам</w:t>
      </w:r>
      <w:proofErr w:type="spellEnd"/>
      <w:r w:rsidRPr="009375B2">
        <w:rPr>
          <w:sz w:val="28"/>
          <w:szCs w:val="28"/>
        </w:rPr>
        <w:t xml:space="preserve"> стоило бы подумать, какой шанс открывается в виду запланированного государством рывка в строительной сфере. Больше станет работы, бо</w:t>
      </w:r>
      <w:r w:rsidRPr="009375B2">
        <w:rPr>
          <w:sz w:val="28"/>
          <w:szCs w:val="28"/>
        </w:rPr>
        <w:t>льше станет ответственность, но больше станут и полномочия, и доходы.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Вот только неполный перечень направлений, которые могли бы взять на себя СРО: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техническое регулирование;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ценообразование;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подготовка кадров;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проектная экспертиза;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ст</w:t>
      </w:r>
      <w:r w:rsidRPr="009375B2">
        <w:rPr>
          <w:sz w:val="28"/>
          <w:szCs w:val="28"/>
        </w:rPr>
        <w:t>роительный надзор;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стройиндустрия;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малоэтажное строительство;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банковские гарантии;</w:t>
      </w: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 xml:space="preserve">    формирование деловой среды.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lastRenderedPageBreak/>
        <w:t xml:space="preserve">Ничего принципиально нового здесь нет. По каждому из этих направлений </w:t>
      </w:r>
      <w:proofErr w:type="spellStart"/>
      <w:r w:rsidRPr="009375B2">
        <w:rPr>
          <w:sz w:val="28"/>
          <w:szCs w:val="28"/>
        </w:rPr>
        <w:t>саморегуляторы</w:t>
      </w:r>
      <w:proofErr w:type="spellEnd"/>
      <w:r w:rsidRPr="009375B2">
        <w:rPr>
          <w:sz w:val="28"/>
          <w:szCs w:val="28"/>
        </w:rPr>
        <w:t xml:space="preserve"> пытались работать, либо работают и сегодня </w:t>
      </w:r>
      <w:r w:rsidRPr="009375B2">
        <w:rPr>
          <w:sz w:val="28"/>
          <w:szCs w:val="28"/>
        </w:rPr>
        <w:t>на свой страх и риск. И появилась возможность уже официально закрепить новые полномочия и механизмы на законодательном уровне, сделав так, чтобы система строительного саморегулирования начала соответствовать структуре собственности и требованиям экономики.</w:t>
      </w:r>
    </w:p>
    <w:p w:rsidR="00AF583A" w:rsidRPr="009375B2" w:rsidRDefault="00AF583A">
      <w:pPr>
        <w:rPr>
          <w:sz w:val="28"/>
          <w:szCs w:val="28"/>
        </w:rPr>
      </w:pPr>
    </w:p>
    <w:p w:rsidR="00AF583A" w:rsidRPr="009375B2" w:rsidRDefault="003D3325">
      <w:pPr>
        <w:rPr>
          <w:sz w:val="28"/>
          <w:szCs w:val="28"/>
        </w:rPr>
      </w:pPr>
      <w:r w:rsidRPr="009375B2">
        <w:rPr>
          <w:sz w:val="28"/>
          <w:szCs w:val="28"/>
        </w:rPr>
        <w:t>Так что дело только за тем, чтобы обобщить накопленный опыт и попытаться вскочить на поезд, который стартовал с началом разработки Стратегии – 2030. Пусть и не в первый вагон, но до нужной станции!</w:t>
      </w:r>
    </w:p>
    <w:p w:rsidR="00AF583A" w:rsidRPr="009375B2" w:rsidRDefault="003D3325">
      <w:r w:rsidRPr="009375B2">
        <w:rPr>
          <w:sz w:val="28"/>
          <w:szCs w:val="28"/>
        </w:rPr>
        <w:t xml:space="preserve">  </w:t>
      </w:r>
    </w:p>
    <w:sectPr w:rsidR="00AF583A" w:rsidRPr="009375B2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325" w:rsidRDefault="003D3325">
      <w:r>
        <w:separator/>
      </w:r>
    </w:p>
  </w:endnote>
  <w:endnote w:type="continuationSeparator" w:id="0">
    <w:p w:rsidR="003D3325" w:rsidRDefault="003D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3D33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325" w:rsidRDefault="003D3325">
      <w:r>
        <w:rPr>
          <w:color w:val="000000"/>
        </w:rPr>
        <w:separator/>
      </w:r>
    </w:p>
  </w:footnote>
  <w:footnote w:type="continuationSeparator" w:id="0">
    <w:p w:rsidR="003D3325" w:rsidRDefault="003D3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61D" w:rsidRDefault="003D3325">
    <w:pPr>
      <w:pStyle w:val="a8"/>
    </w:pPr>
    <w:r>
      <w:fldChar w:fldCharType="begin"/>
    </w:r>
    <w:r>
      <w:instrText xml:space="preserve"> PAGE </w:instrText>
    </w:r>
    <w:r>
      <w:fldChar w:fldCharType="separate"/>
    </w:r>
    <w:r w:rsidR="009375B2">
      <w:rPr>
        <w:noProof/>
      </w:rPr>
      <w:t>6</w:t>
    </w:r>
    <w:r>
      <w:fldChar w:fldCharType="end"/>
    </w:r>
  </w:p>
  <w:p w:rsidR="001E561D" w:rsidRDefault="003D33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583A"/>
    <w:rsid w:val="003D3325"/>
    <w:rsid w:val="009375B2"/>
    <w:rsid w:val="00A42DD3"/>
    <w:rsid w:val="00A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uppressAutoHyphens w:val="0"/>
      <w:spacing w:before="100" w:after="100"/>
      <w:textAlignment w:val="auto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hAnsi="Times New Roman"/>
      <w:b/>
      <w:bCs/>
      <w:kern w:val="3"/>
      <w:sz w:val="48"/>
      <w:szCs w:val="48"/>
    </w:rPr>
  </w:style>
  <w:style w:type="character" w:styleId="a7">
    <w:name w:val="Strong"/>
    <w:basedOn w:val="a0"/>
    <w:rPr>
      <w:b/>
      <w:b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pPr>
      <w:suppressAutoHyphens w:val="0"/>
      <w:spacing w:before="100" w:after="100"/>
      <w:textAlignment w:val="auto"/>
      <w:outlineLvl w:val="0"/>
    </w:pPr>
    <w:rPr>
      <w:rFonts w:ascii="Times New Roman" w:hAnsi="Times New Roman"/>
      <w:b/>
      <w:bCs/>
      <w:kern w:val="3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paragraph" w:styleId="a4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rPr>
      <w:rFonts w:ascii="Tahoma" w:hAnsi="Tahoma" w:cs="Tahoma"/>
      <w:sz w:val="16"/>
      <w:szCs w:val="16"/>
    </w:rPr>
  </w:style>
  <w:style w:type="character" w:styleId="a6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rPr>
      <w:rFonts w:ascii="Times New Roman" w:hAnsi="Times New Roman"/>
      <w:b/>
      <w:bCs/>
      <w:kern w:val="3"/>
      <w:sz w:val="48"/>
      <w:szCs w:val="48"/>
    </w:rPr>
  </w:style>
  <w:style w:type="character" w:styleId="a7">
    <w:name w:val="Strong"/>
    <w:basedOn w:val="a0"/>
    <w:rPr>
      <w:b/>
      <w:bCs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1</cp:lastModifiedBy>
  <cp:revision>2</cp:revision>
  <cp:lastPrinted>2019-05-08T05:53:00Z</cp:lastPrinted>
  <dcterms:created xsi:type="dcterms:W3CDTF">2019-05-14T07:51:00Z</dcterms:created>
  <dcterms:modified xsi:type="dcterms:W3CDTF">2019-05-14T07:51:00Z</dcterms:modified>
</cp:coreProperties>
</file>